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240703A6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5"/>
        <w:gridCol w:w="2123"/>
        <w:gridCol w:w="543"/>
        <w:gridCol w:w="1152"/>
        <w:gridCol w:w="1076"/>
        <w:gridCol w:w="648"/>
        <w:gridCol w:w="1980"/>
      </w:tblGrid>
      <w:tr w:rsidR="001324DD" w:rsidRPr="00926136" w14:paraId="3E15D730" w14:textId="77777777" w:rsidTr="00CB0EAB">
        <w:tc>
          <w:tcPr>
            <w:tcW w:w="2544" w:type="dxa"/>
            <w:shd w:val="clear" w:color="auto" w:fill="E0E9F5" w:themeFill="accent1" w:themeFillTint="33"/>
          </w:tcPr>
          <w:p w14:paraId="6A7DD21F" w14:textId="77777777" w:rsidR="00187CF5" w:rsidRPr="00926136" w:rsidRDefault="00187CF5" w:rsidP="00CB2651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Transportunternehmen</w:t>
            </w:r>
          </w:p>
        </w:tc>
        <w:tc>
          <w:tcPr>
            <w:tcW w:w="7083" w:type="dxa"/>
            <w:gridSpan w:val="6"/>
            <w:shd w:val="clear" w:color="auto" w:fill="E0E9F5" w:themeFill="accent1" w:themeFillTint="33"/>
          </w:tcPr>
          <w:p w14:paraId="77F2F109" w14:textId="4A27D135" w:rsidR="00187CF5" w:rsidRPr="00926136" w:rsidRDefault="00165118" w:rsidP="00CB2651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SBB (</w:t>
            </w:r>
            <w:r w:rsidR="008C019B">
              <w:rPr>
                <w:sz w:val="20"/>
                <w:szCs w:val="20"/>
              </w:rPr>
              <w:t xml:space="preserve">und </w:t>
            </w:r>
            <w:proofErr w:type="spellStart"/>
            <w:r w:rsidRPr="00926136">
              <w:rPr>
                <w:sz w:val="20"/>
                <w:szCs w:val="20"/>
              </w:rPr>
              <w:t>Ti</w:t>
            </w:r>
            <w:r w:rsidR="00AF0649">
              <w:rPr>
                <w:sz w:val="20"/>
                <w:szCs w:val="20"/>
              </w:rPr>
              <w:t>L</w:t>
            </w:r>
            <w:r w:rsidRPr="00926136">
              <w:rPr>
                <w:sz w:val="20"/>
                <w:szCs w:val="20"/>
              </w:rPr>
              <w:t>o</w:t>
            </w:r>
            <w:proofErr w:type="spellEnd"/>
            <w:r w:rsidRPr="00926136">
              <w:rPr>
                <w:sz w:val="20"/>
                <w:szCs w:val="20"/>
              </w:rPr>
              <w:t>)</w:t>
            </w:r>
          </w:p>
        </w:tc>
      </w:tr>
      <w:tr w:rsidR="00CB0EAB" w:rsidRPr="001A0FE4" w14:paraId="63F2FD75" w14:textId="77777777" w:rsidTr="00CB0EAB">
        <w:tc>
          <w:tcPr>
            <w:tcW w:w="2544" w:type="dxa"/>
            <w:shd w:val="clear" w:color="auto" w:fill="E0E9F5" w:themeFill="accent1" w:themeFillTint="33"/>
          </w:tcPr>
          <w:p w14:paraId="66ED1C16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Kontaktperson</w:t>
            </w:r>
          </w:p>
          <w:p w14:paraId="315B550E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083" w:type="dxa"/>
            <w:gridSpan w:val="6"/>
            <w:shd w:val="clear" w:color="auto" w:fill="E0E9F5" w:themeFill="accent1" w:themeFillTint="33"/>
          </w:tcPr>
          <w:p w14:paraId="029AB608" w14:textId="2E6E21BB" w:rsidR="001A0FE4" w:rsidRPr="001F51A1" w:rsidRDefault="001A0FE4" w:rsidP="001A0FE4">
            <w:pPr>
              <w:rPr>
                <w:sz w:val="20"/>
                <w:szCs w:val="20"/>
              </w:rPr>
            </w:pPr>
            <w:r w:rsidRPr="001F51A1">
              <w:rPr>
                <w:sz w:val="20"/>
                <w:szCs w:val="20"/>
              </w:rPr>
              <w:t>T</w:t>
            </w:r>
            <w:r w:rsidR="00ED47C8" w:rsidRPr="001F51A1">
              <w:rPr>
                <w:sz w:val="20"/>
                <w:szCs w:val="20"/>
              </w:rPr>
              <w:t>herese Herren</w:t>
            </w:r>
          </w:p>
          <w:p w14:paraId="7924390C" w14:textId="5210DCD9" w:rsidR="001A0FE4" w:rsidRPr="001F51A1" w:rsidRDefault="001A0FE4" w:rsidP="001F51A1">
            <w:pPr>
              <w:rPr>
                <w:sz w:val="20"/>
                <w:szCs w:val="20"/>
              </w:rPr>
            </w:pPr>
            <w:r w:rsidRPr="001F51A1">
              <w:rPr>
                <w:sz w:val="20"/>
                <w:szCs w:val="20"/>
              </w:rPr>
              <w:t>SBB – Angebotsplanung</w:t>
            </w:r>
          </w:p>
          <w:p w14:paraId="2144B57B" w14:textId="5F64D837" w:rsidR="00CB0EAB" w:rsidRPr="001F51A1" w:rsidRDefault="008C4AC1" w:rsidP="001A0FE4">
            <w:r w:rsidRPr="001F51A1">
              <w:rPr>
                <w:sz w:val="20"/>
                <w:szCs w:val="20"/>
              </w:rPr>
              <w:t>therese.herren</w:t>
            </w:r>
            <w:r w:rsidR="001A0FE4" w:rsidRPr="001A0FE4">
              <w:rPr>
                <w:sz w:val="20"/>
                <w:szCs w:val="20"/>
              </w:rPr>
              <w:t>@</w:t>
            </w:r>
            <w:r w:rsidRPr="001F51A1">
              <w:rPr>
                <w:sz w:val="20"/>
                <w:szCs w:val="20"/>
              </w:rPr>
              <w:t>sbb.ch</w:t>
            </w:r>
          </w:p>
        </w:tc>
      </w:tr>
      <w:tr w:rsidR="00CB0EAB" w:rsidRPr="00926136" w14:paraId="426C47CE" w14:textId="77777777" w:rsidTr="00CB0EAB">
        <w:tc>
          <w:tcPr>
            <w:tcW w:w="2544" w:type="dxa"/>
            <w:shd w:val="clear" w:color="auto" w:fill="E0E9F5" w:themeFill="accent1" w:themeFillTint="33"/>
          </w:tcPr>
          <w:p w14:paraId="2BD35067" w14:textId="4FDB330B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Titel</w:t>
            </w:r>
          </w:p>
        </w:tc>
        <w:tc>
          <w:tcPr>
            <w:tcW w:w="7083" w:type="dxa"/>
            <w:gridSpan w:val="6"/>
            <w:shd w:val="clear" w:color="auto" w:fill="E0E9F5" w:themeFill="accent1" w:themeFillTint="33"/>
          </w:tcPr>
          <w:p w14:paraId="64C05AE7" w14:textId="3AC79F2E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Ceneri 202</w:t>
            </w:r>
            <w:r w:rsidR="00F31C6D">
              <w:rPr>
                <w:sz w:val="20"/>
                <w:szCs w:val="20"/>
              </w:rPr>
              <w:t>0</w:t>
            </w:r>
            <w:r w:rsidRPr="00926136">
              <w:rPr>
                <w:sz w:val="20"/>
                <w:szCs w:val="20"/>
              </w:rPr>
              <w:t xml:space="preserve"> – Angebotssprung im Tessin</w:t>
            </w:r>
          </w:p>
        </w:tc>
      </w:tr>
      <w:tr w:rsidR="00CB0EAB" w:rsidRPr="00926136" w14:paraId="5B2C8CB0" w14:textId="77777777" w:rsidTr="00CB0EAB">
        <w:tc>
          <w:tcPr>
            <w:tcW w:w="2544" w:type="dxa"/>
          </w:tcPr>
          <w:p w14:paraId="7BF2602B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 xml:space="preserve">Massnahme zur </w:t>
            </w:r>
          </w:p>
          <w:p w14:paraId="1C605CB1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 xml:space="preserve">Steigerung des öV-Anteils </w:t>
            </w:r>
          </w:p>
        </w:tc>
        <w:tc>
          <w:tcPr>
            <w:tcW w:w="7083" w:type="dxa"/>
            <w:gridSpan w:val="6"/>
          </w:tcPr>
          <w:p w14:paraId="788561FD" w14:textId="7CBBB3EE" w:rsidR="00CB0EAB" w:rsidRPr="008C019B" w:rsidRDefault="00CB0EAB" w:rsidP="00CB0EAB">
            <w:pPr>
              <w:jc w:val="both"/>
              <w:rPr>
                <w:sz w:val="20"/>
                <w:szCs w:val="20"/>
              </w:rPr>
            </w:pPr>
            <w:r w:rsidRPr="008C019B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ss</w:t>
            </w:r>
            <w:r w:rsidRPr="008C019B">
              <w:rPr>
                <w:sz w:val="20"/>
                <w:szCs w:val="20"/>
              </w:rPr>
              <w:t xml:space="preserve">nahmen sowohl für den </w:t>
            </w:r>
            <w:r>
              <w:rPr>
                <w:sz w:val="20"/>
                <w:szCs w:val="20"/>
              </w:rPr>
              <w:t xml:space="preserve">Fernverkehr </w:t>
            </w:r>
            <w:r w:rsidRPr="008C019B">
              <w:rPr>
                <w:sz w:val="20"/>
                <w:szCs w:val="20"/>
              </w:rPr>
              <w:t xml:space="preserve">als auch für den </w:t>
            </w:r>
            <w:r>
              <w:rPr>
                <w:sz w:val="20"/>
                <w:szCs w:val="20"/>
              </w:rPr>
              <w:t>regionalen V</w:t>
            </w:r>
            <w:r w:rsidRPr="008C019B">
              <w:rPr>
                <w:sz w:val="20"/>
                <w:szCs w:val="20"/>
              </w:rPr>
              <w:t>erkehr</w:t>
            </w:r>
            <w:r>
              <w:rPr>
                <w:sz w:val="20"/>
                <w:szCs w:val="20"/>
              </w:rPr>
              <w:t>:</w:t>
            </w:r>
          </w:p>
          <w:p w14:paraId="6FB7FC25" w14:textId="1623DA96" w:rsidR="00CB0EAB" w:rsidRDefault="00CB0EAB" w:rsidP="00CB0EAB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C019B">
              <w:rPr>
                <w:sz w:val="20"/>
                <w:szCs w:val="20"/>
              </w:rPr>
              <w:t>Verkürzung der Fahrzeit</w:t>
            </w:r>
          </w:p>
          <w:p w14:paraId="473476F4" w14:textId="79313480" w:rsidR="00CB0EAB" w:rsidRDefault="00CB0EAB" w:rsidP="00CB0EAB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Erhöhung der Taktfrequenz</w:t>
            </w:r>
          </w:p>
          <w:p w14:paraId="75079980" w14:textId="242D666A" w:rsidR="00CB0EAB" w:rsidRDefault="00CB0EAB" w:rsidP="00CB0EAB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C019B">
              <w:rPr>
                <w:sz w:val="20"/>
                <w:szCs w:val="20"/>
              </w:rPr>
              <w:t>Einführung von neuem Rollmaterial</w:t>
            </w:r>
          </w:p>
          <w:p w14:paraId="37D0AA93" w14:textId="31C5D754" w:rsidR="00CB0EAB" w:rsidRPr="008C019B" w:rsidRDefault="00CB0EAB" w:rsidP="00CB0EAB">
            <w:pPr>
              <w:pStyle w:val="Listenabsatz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Einrichtung einer neuen Direktverbindung </w:t>
            </w:r>
          </w:p>
        </w:tc>
      </w:tr>
      <w:tr w:rsidR="00CB0EAB" w:rsidRPr="00AF0649" w14:paraId="11164C40" w14:textId="77777777" w:rsidTr="00CB0EAB">
        <w:tc>
          <w:tcPr>
            <w:tcW w:w="2544" w:type="dxa"/>
          </w:tcPr>
          <w:p w14:paraId="571E1A1F" w14:textId="6BE0AA09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 xml:space="preserve">Kurzbeschreibung der Massnahme </w:t>
            </w:r>
          </w:p>
        </w:tc>
        <w:tc>
          <w:tcPr>
            <w:tcW w:w="7083" w:type="dxa"/>
            <w:gridSpan w:val="6"/>
          </w:tcPr>
          <w:p w14:paraId="266DB6B7" w14:textId="16867D6F" w:rsidR="00BA2594" w:rsidRPr="001A0FE4" w:rsidRDefault="00BA2594" w:rsidP="00CB0EA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Der Kanton Tessin profitiert in erster Linie stark durch den Infrastrukturausbau der NEAT mit dem Ceneri-Basistunnel und dem damit verbundenen Angebotsausbau und Fahrzeitverkürzungen. Damit erfährt der Marktraum Tessin (Tarifverbund </w:t>
            </w:r>
            <w:proofErr w:type="spellStart"/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Arcobaleno</w:t>
            </w:r>
            <w:proofErr w:type="spellEnd"/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D41E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D41EC" w:rsidRPr="001F51A1">
              <w:rPr>
                <w:rStyle w:val="normaltextrun"/>
                <w:color w:val="000000"/>
                <w:sz w:val="20"/>
                <w:szCs w:val="20"/>
              </w:rPr>
              <w:t>im Fahrplan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2021 einen enormen Angebotssprung </w:t>
            </w:r>
            <w:r w:rsidR="00A77B6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von 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rund 8</w:t>
            </w:r>
            <w:r w:rsidR="00857D68"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A77B6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Angebotskilometer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der nicht vergleichbar mit anderen Räumen </w:t>
            </w:r>
            <w:r w:rsidR="00857D68"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 der Schweiz 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ist (siehe Abbildung 1). </w:t>
            </w:r>
            <w:r w:rsidR="00ED41E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Die Hauptagglomerationen Bellinzona, Locarno</w:t>
            </w:r>
            <w:r w:rsidR="00456CDF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D41E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Lugano</w:t>
            </w:r>
            <w:r w:rsidR="00456CDF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und </w:t>
            </w:r>
            <w:r w:rsidR="00ED41EC" w:rsidRPr="001A0FE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Mendrisio profitieren durch den Ausbau der Bahn mit deutlichen </w:t>
            </w:r>
            <w:r w:rsidRPr="001F51A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Erreichbarkeitsgewinnen (siehe Abbildung 2). </w:t>
            </w:r>
            <w:r w:rsidRPr="001F51A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2A5D45" w14:textId="27755B3F" w:rsidR="00CB0EAB" w:rsidRPr="001A0FE4" w:rsidRDefault="00CB0EAB" w:rsidP="00CB0EA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0FE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Der Fahrplan 2021 bringt schnellere, häufigere und bequemere Verbindungen auf der Nord-Süd-Achse Gotthard. 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 xml:space="preserve">Für Personenzüge </w:t>
            </w:r>
            <w:r w:rsidR="00456CDF" w:rsidRPr="001A0FE4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456CDF" w:rsidRPr="001F51A1">
              <w:rPr>
                <w:sz w:val="20"/>
                <w:szCs w:val="20"/>
              </w:rPr>
              <w:t xml:space="preserve">auert 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>die Fahrt von Zürich nach</w:t>
            </w:r>
            <w:r w:rsidR="00ED41EC" w:rsidRPr="001A0F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D41EC" w:rsidRPr="001F51A1">
              <w:rPr>
                <w:sz w:val="20"/>
                <w:szCs w:val="20"/>
              </w:rPr>
              <w:t xml:space="preserve">Lugano </w:t>
            </w:r>
            <w:r w:rsidR="00456CDF" w:rsidRPr="001F51A1">
              <w:rPr>
                <w:sz w:val="20"/>
                <w:szCs w:val="20"/>
              </w:rPr>
              <w:t>weniger als</w:t>
            </w:r>
            <w:r w:rsidR="00ED41EC" w:rsidRPr="001F51A1">
              <w:rPr>
                <w:sz w:val="20"/>
                <w:szCs w:val="20"/>
              </w:rPr>
              <w:t xml:space="preserve"> zwei Stunden, nach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 xml:space="preserve"> Mailand </w:t>
            </w:r>
            <w:r w:rsidR="00B36FDC" w:rsidRPr="001A0FE4">
              <w:rPr>
                <w:rFonts w:cstheme="minorHAnsi"/>
                <w:color w:val="000000"/>
                <w:sz w:val="20"/>
                <w:szCs w:val="20"/>
              </w:rPr>
              <w:t xml:space="preserve">rund 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>3 Stunden 1</w:t>
            </w:r>
            <w:r w:rsidR="00B36FDC" w:rsidRPr="001A0FE4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 xml:space="preserve"> Minuten. Gleichzeitig wird das Angebot zwischen Zürich und Mailand auf täglich zehn Direktverbindungen ausgebaut. Eingesetzt werden auf der Gotthardachse im </w:t>
            </w:r>
            <w:r w:rsidR="00B36FDC" w:rsidRPr="001A0FE4">
              <w:rPr>
                <w:rFonts w:cstheme="minorHAnsi"/>
                <w:color w:val="000000"/>
                <w:sz w:val="20"/>
                <w:szCs w:val="20"/>
              </w:rPr>
              <w:t xml:space="preserve">nationalen wie auch im </w:t>
            </w:r>
            <w:r w:rsidRPr="001A0FE4">
              <w:rPr>
                <w:rFonts w:cstheme="minorHAnsi"/>
                <w:color w:val="000000"/>
                <w:sz w:val="20"/>
                <w:szCs w:val="20"/>
              </w:rPr>
              <w:t xml:space="preserve">grenzüberschreitenden Verkehr mit Italien in erster Linie die neuen </w:t>
            </w:r>
            <w:proofErr w:type="spellStart"/>
            <w:r w:rsidRPr="001A0FE4">
              <w:rPr>
                <w:rFonts w:cstheme="minorHAnsi"/>
                <w:color w:val="000000"/>
                <w:sz w:val="20"/>
                <w:szCs w:val="20"/>
              </w:rPr>
              <w:t>Giruno</w:t>
            </w:r>
            <w:proofErr w:type="spellEnd"/>
            <w:r w:rsidRPr="001A0FE4">
              <w:rPr>
                <w:rFonts w:cstheme="minorHAnsi"/>
                <w:color w:val="000000"/>
                <w:sz w:val="20"/>
                <w:szCs w:val="20"/>
              </w:rPr>
              <w:t>-Züge. </w:t>
            </w:r>
          </w:p>
          <w:p w14:paraId="55B1EB86" w14:textId="6F542325" w:rsidR="00CB0EAB" w:rsidRPr="001A0FE4" w:rsidRDefault="00CB0EAB" w:rsidP="00CB0EA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FE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Auch der Regionalverkehr profitiert von dieser Infrastruktur. Die Verbindungen </w:t>
            </w:r>
            <w:r w:rsidRPr="001A0FE4">
              <w:rPr>
                <w:rFonts w:cstheme="minorHAnsi"/>
                <w:sz w:val="20"/>
                <w:szCs w:val="20"/>
                <w:shd w:val="clear" w:color="auto" w:fill="FFFFFF"/>
              </w:rPr>
              <w:t>zwischen den kantonalen Zentren</w:t>
            </w:r>
            <w:r w:rsidR="00A77B6C" w:rsidRPr="001A0F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Bellinzona, Lugano, Locarno und Mendrisio</w:t>
            </w:r>
            <w:r w:rsidRPr="001A0F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werden schneller und häufiger sein. Überdies wurde eine neue Direktverbindung </w:t>
            </w:r>
            <w:r w:rsidRPr="001A0FE4">
              <w:rPr>
                <w:rFonts w:cstheme="minorHAnsi"/>
                <w:sz w:val="20"/>
                <w:szCs w:val="20"/>
              </w:rPr>
              <w:t>im Halbstundentakt für die Strecke Locarno-Lugano-Chiasso eingeführt (mit Verlängerung im Stundentakt bis Milano Centrale).</w:t>
            </w:r>
          </w:p>
          <w:p w14:paraId="740A0528" w14:textId="17FC6FD9" w:rsidR="00CB0EAB" w:rsidRPr="001F51A1" w:rsidRDefault="00CB0EAB" w:rsidP="00CB0EAB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1A1">
              <w:rPr>
                <w:rFonts w:cstheme="minorHAnsi"/>
                <w:sz w:val="20"/>
                <w:szCs w:val="20"/>
              </w:rPr>
              <w:t>Ergänzende Massnahmen andere</w:t>
            </w:r>
            <w:r w:rsidR="00A77B6C" w:rsidRPr="001A0FE4">
              <w:rPr>
                <w:rFonts w:cstheme="minorHAnsi"/>
                <w:sz w:val="20"/>
                <w:szCs w:val="20"/>
              </w:rPr>
              <w:t>r</w:t>
            </w:r>
            <w:r w:rsidRPr="001F51A1">
              <w:rPr>
                <w:rFonts w:cstheme="minorHAnsi"/>
                <w:sz w:val="20"/>
                <w:szCs w:val="20"/>
              </w:rPr>
              <w:t xml:space="preserve"> Akteure:</w:t>
            </w:r>
          </w:p>
          <w:p w14:paraId="49B7B21D" w14:textId="5B3837DF" w:rsidR="00CB0EAB" w:rsidRPr="001F51A1" w:rsidRDefault="00CB0EAB" w:rsidP="00CB0EAB">
            <w:pPr>
              <w:pStyle w:val="Listenabsatz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51A1">
              <w:rPr>
                <w:rFonts w:cstheme="minorHAnsi"/>
                <w:sz w:val="20"/>
                <w:szCs w:val="20"/>
              </w:rPr>
              <w:t>Kanton Tessin (Postauto, lokale Transportunternehmen): Verstärkung des öffentlichen Verkehrsangebots (Ortsverkehr)</w:t>
            </w:r>
          </w:p>
          <w:p w14:paraId="10F48EC8" w14:textId="06D75E6F" w:rsidR="00CB0EAB" w:rsidRPr="001A0FE4" w:rsidRDefault="00CB0EAB" w:rsidP="00CB0EAB">
            <w:pPr>
              <w:pStyle w:val="Listenabsatz"/>
              <w:numPr>
                <w:ilvl w:val="0"/>
                <w:numId w:val="20"/>
              </w:numPr>
              <w:jc w:val="both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1F51A1">
              <w:rPr>
                <w:rFonts w:cstheme="minorHAnsi"/>
                <w:sz w:val="20"/>
                <w:szCs w:val="20"/>
              </w:rPr>
              <w:t>S</w:t>
            </w:r>
            <w:r w:rsidR="00A77B6C" w:rsidRPr="001A0FE4">
              <w:rPr>
                <w:rFonts w:cstheme="minorHAnsi"/>
                <w:sz w:val="20"/>
                <w:szCs w:val="20"/>
              </w:rPr>
              <w:t>O</w:t>
            </w:r>
            <w:r w:rsidRPr="001F51A1">
              <w:rPr>
                <w:rFonts w:cstheme="minorHAnsi"/>
                <w:sz w:val="20"/>
                <w:szCs w:val="20"/>
              </w:rPr>
              <w:t>B: Neue Direktverbindung ab Zürich</w:t>
            </w:r>
            <w:r w:rsidR="00A77B6C" w:rsidRPr="001A0FE4">
              <w:rPr>
                <w:rFonts w:cstheme="minorHAnsi"/>
                <w:sz w:val="20"/>
                <w:szCs w:val="20"/>
              </w:rPr>
              <w:t>-</w:t>
            </w:r>
            <w:r w:rsidR="00A77B6C" w:rsidRPr="001F51A1">
              <w:rPr>
                <w:sz w:val="20"/>
                <w:szCs w:val="20"/>
              </w:rPr>
              <w:t>Zug</w:t>
            </w:r>
            <w:r w:rsidRPr="001F51A1">
              <w:rPr>
                <w:rFonts w:cstheme="minorHAnsi"/>
                <w:sz w:val="20"/>
                <w:szCs w:val="20"/>
              </w:rPr>
              <w:t xml:space="preserve"> oder Basel</w:t>
            </w:r>
            <w:r w:rsidR="00A77B6C" w:rsidRPr="001A0FE4">
              <w:rPr>
                <w:rFonts w:cstheme="minorHAnsi"/>
                <w:sz w:val="20"/>
                <w:szCs w:val="20"/>
              </w:rPr>
              <w:t>-</w:t>
            </w:r>
            <w:r w:rsidR="00A77B6C" w:rsidRPr="001F51A1">
              <w:rPr>
                <w:sz w:val="20"/>
                <w:szCs w:val="20"/>
              </w:rPr>
              <w:t>Luzern</w:t>
            </w:r>
            <w:r w:rsidRPr="001F51A1">
              <w:rPr>
                <w:rFonts w:cstheme="minorHAnsi"/>
                <w:sz w:val="20"/>
                <w:szCs w:val="20"/>
              </w:rPr>
              <w:t xml:space="preserve"> nach Locarno </w:t>
            </w:r>
            <w:r w:rsidR="00A77B6C" w:rsidRPr="001A0FE4">
              <w:rPr>
                <w:rFonts w:cstheme="minorHAnsi"/>
                <w:sz w:val="20"/>
                <w:szCs w:val="20"/>
              </w:rPr>
              <w:t xml:space="preserve">via </w:t>
            </w:r>
            <w:r w:rsidRPr="001F51A1">
              <w:rPr>
                <w:rFonts w:cstheme="minorHAnsi"/>
                <w:sz w:val="20"/>
                <w:szCs w:val="20"/>
              </w:rPr>
              <w:t xml:space="preserve">die </w:t>
            </w:r>
            <w:r w:rsidR="00A77B6C" w:rsidRPr="001A0FE4">
              <w:rPr>
                <w:rFonts w:cstheme="minorHAnsi"/>
                <w:sz w:val="20"/>
                <w:szCs w:val="20"/>
              </w:rPr>
              <w:t>Panoramastrecke San Gottardo (</w:t>
            </w:r>
            <w:r w:rsidRPr="001F51A1">
              <w:rPr>
                <w:rFonts w:cstheme="minorHAnsi"/>
                <w:sz w:val="20"/>
                <w:szCs w:val="20"/>
              </w:rPr>
              <w:t>Gotthard-Bergstrecke</w:t>
            </w:r>
            <w:r w:rsidR="00A77B6C" w:rsidRPr="001A0FE4">
              <w:rPr>
                <w:rFonts w:cstheme="minorHAnsi"/>
                <w:sz w:val="20"/>
                <w:szCs w:val="20"/>
              </w:rPr>
              <w:t xml:space="preserve">), mit </w:t>
            </w:r>
            <w:r w:rsidR="00B36FDC" w:rsidRPr="001A0FE4">
              <w:rPr>
                <w:rFonts w:cstheme="minorHAnsi"/>
                <w:sz w:val="20"/>
                <w:szCs w:val="20"/>
              </w:rPr>
              <w:t>neuen Flirt Traverso-Zügen</w:t>
            </w:r>
          </w:p>
        </w:tc>
      </w:tr>
      <w:tr w:rsidR="00CB0EAB" w:rsidRPr="00926136" w14:paraId="03501E2E" w14:textId="77777777" w:rsidTr="00CB0EAB">
        <w:tc>
          <w:tcPr>
            <w:tcW w:w="2544" w:type="dxa"/>
          </w:tcPr>
          <w:p w14:paraId="0E0F8BC7" w14:textId="7A1BE94D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Foto</w:t>
            </w:r>
          </w:p>
        </w:tc>
        <w:tc>
          <w:tcPr>
            <w:tcW w:w="7083" w:type="dxa"/>
            <w:gridSpan w:val="6"/>
          </w:tcPr>
          <w:p w14:paraId="35B53FAE" w14:textId="502CC1F0" w:rsidR="00852001" w:rsidRPr="001F51A1" w:rsidRDefault="00CB0EAB" w:rsidP="001F51A1">
            <w:pPr>
              <w:ind w:left="1168" w:hanging="1168"/>
              <w:jc w:val="both"/>
              <w:rPr>
                <w:rFonts w:ascii="Franklin Gothic Book" w:hAnsi="Franklin Gothic Book"/>
                <w:color w:val="6A6A6A"/>
                <w:sz w:val="18"/>
                <w:szCs w:val="18"/>
                <w:shd w:val="clear" w:color="auto" w:fill="FFFFFF"/>
              </w:rPr>
            </w:pPr>
            <w:r w:rsidRPr="00926136">
              <w:rPr>
                <w:sz w:val="20"/>
                <w:szCs w:val="20"/>
                <w:u w:val="single"/>
              </w:rPr>
              <w:t>Abbildung</w:t>
            </w:r>
            <w:r w:rsidRPr="00926136">
              <w:rPr>
                <w:sz w:val="20"/>
                <w:szCs w:val="20"/>
              </w:rPr>
              <w:t xml:space="preserve"> 1: </w:t>
            </w:r>
            <w:r w:rsidR="00852001">
              <w:rPr>
                <w:sz w:val="20"/>
                <w:szCs w:val="20"/>
              </w:rPr>
              <w:t xml:space="preserve"> </w:t>
            </w:r>
            <w:r w:rsidR="00852001" w:rsidRPr="00852001">
              <w:rPr>
                <w:rFonts w:cstheme="minorHAnsi"/>
                <w:sz w:val="20"/>
                <w:szCs w:val="20"/>
              </w:rPr>
              <w:t xml:space="preserve">Entwicklung von Angebot und Nachfrage </w:t>
            </w:r>
            <w:r w:rsidR="00852001" w:rsidRPr="001F51A1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auf der Schiene im Zeithorizont 2018-2021 </w:t>
            </w:r>
            <w:r w:rsidR="00852001" w:rsidRPr="00852001">
              <w:rPr>
                <w:rFonts w:cstheme="minorHAnsi"/>
                <w:sz w:val="20"/>
                <w:szCs w:val="20"/>
              </w:rPr>
              <w:t xml:space="preserve">in den vier grössten Regionalverkehrs-Märkten </w:t>
            </w:r>
            <w:r w:rsidR="00852001" w:rsidRPr="00852001">
              <w:rPr>
                <w:sz w:val="20"/>
                <w:szCs w:val="20"/>
              </w:rPr>
              <w:t>[SBB, 2021].</w:t>
            </w:r>
          </w:p>
          <w:p w14:paraId="2AC4D47C" w14:textId="2DCED295" w:rsidR="00CB0EAB" w:rsidRDefault="00CB0EAB" w:rsidP="00CB0EAB">
            <w:pPr>
              <w:ind w:left="1168" w:hanging="1168"/>
              <w:jc w:val="both"/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  <w:u w:val="single"/>
              </w:rPr>
              <w:t>Abbildung</w:t>
            </w:r>
            <w:r w:rsidRPr="00926136">
              <w:rPr>
                <w:sz w:val="20"/>
                <w:szCs w:val="20"/>
              </w:rPr>
              <w:t xml:space="preserve"> 2: Änderung der Bahnerreichbarkeit </w:t>
            </w:r>
            <w:r w:rsidR="00B36FDC">
              <w:rPr>
                <w:sz w:val="20"/>
                <w:szCs w:val="20"/>
              </w:rPr>
              <w:t xml:space="preserve">vor und </w:t>
            </w:r>
            <w:r w:rsidRPr="00926136">
              <w:rPr>
                <w:sz w:val="20"/>
                <w:szCs w:val="20"/>
              </w:rPr>
              <w:t>nach der Inbetriebnahme des Ceneri Basistunnels [SBB, 2021].</w:t>
            </w:r>
          </w:p>
          <w:p w14:paraId="47A5C097" w14:textId="77777777" w:rsidR="00172899" w:rsidRPr="001F51A1" w:rsidRDefault="00172899" w:rsidP="00CB0EAB">
            <w:pPr>
              <w:ind w:left="1168" w:hanging="1168"/>
              <w:jc w:val="both"/>
              <w:rPr>
                <w:sz w:val="12"/>
                <w:szCs w:val="12"/>
              </w:rPr>
            </w:pPr>
          </w:p>
          <w:p w14:paraId="09F141F4" w14:textId="69342036" w:rsidR="00CB0EAB" w:rsidRDefault="00172899" w:rsidP="00CB0EAB">
            <w:pPr>
              <w:ind w:left="1168" w:hanging="1168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3957B1" wp14:editId="4443DD35">
                  <wp:extent cx="4341495" cy="1346200"/>
                  <wp:effectExtent l="0" t="0" r="1905" b="6350"/>
                  <wp:docPr id="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7076" t="16988" r="2388" b="16986"/>
                          <a:stretch/>
                        </pic:blipFill>
                        <pic:spPr>
                          <a:xfrm>
                            <a:off x="0" y="0"/>
                            <a:ext cx="4341699" cy="1346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498BA" w14:textId="11BDBEA2" w:rsidR="00BA2594" w:rsidRPr="001F51A1" w:rsidRDefault="00BA2594" w:rsidP="001F51A1">
            <w:pPr>
              <w:jc w:val="both"/>
              <w:rPr>
                <w:sz w:val="12"/>
                <w:szCs w:val="12"/>
              </w:rPr>
            </w:pPr>
            <w:r w:rsidRPr="001F51A1">
              <w:rPr>
                <w:sz w:val="12"/>
                <w:szCs w:val="12"/>
              </w:rPr>
              <w:t>Bemerkungen: Verzögerung Inbetriebnahme Ceneri nicht berücksichtigt). Die Angebotskilometer sind abhängig vom Sitzplatzangebot. Vergleich je Markt auf Basis federführend bestellte Linien (Planwerte, es werden für das Bestellverfahren keine Ist-Werte errechnet). Die Nachfragestimulation durch einen Angebotssprung tritt erfahrungsgemäss ab ca. 2 Jahren ein.</w:t>
            </w:r>
          </w:p>
          <w:p w14:paraId="07382DF7" w14:textId="5ABFD10B" w:rsidR="00172899" w:rsidRPr="00926136" w:rsidRDefault="00172899" w:rsidP="00CB0EAB">
            <w:pPr>
              <w:ind w:left="1168" w:hanging="1168"/>
              <w:jc w:val="both"/>
              <w:rPr>
                <w:sz w:val="20"/>
                <w:szCs w:val="20"/>
              </w:rPr>
            </w:pPr>
          </w:p>
          <w:p w14:paraId="04903003" w14:textId="2B738E19" w:rsidR="00CB0EAB" w:rsidRPr="00926136" w:rsidRDefault="00CB0EAB" w:rsidP="00CB0EAB">
            <w:pPr>
              <w:jc w:val="both"/>
              <w:rPr>
                <w:sz w:val="20"/>
                <w:szCs w:val="20"/>
              </w:rPr>
            </w:pPr>
            <w:r w:rsidRPr="00926136">
              <w:rPr>
                <w:noProof/>
                <w:sz w:val="20"/>
                <w:szCs w:val="20"/>
              </w:rPr>
              <w:drawing>
                <wp:inline distT="0" distB="0" distL="0" distR="0" wp14:anchorId="3377A71E" wp14:editId="3210179B">
                  <wp:extent cx="4343400" cy="2847975"/>
                  <wp:effectExtent l="19050" t="19050" r="19050" b="285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821" cy="287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20C57" w14:textId="50771C94" w:rsidR="00CB0EAB" w:rsidRPr="00926136" w:rsidRDefault="00CB0EAB" w:rsidP="00CB0EAB">
            <w:pPr>
              <w:jc w:val="both"/>
              <w:rPr>
                <w:sz w:val="8"/>
                <w:szCs w:val="8"/>
              </w:rPr>
            </w:pPr>
          </w:p>
        </w:tc>
      </w:tr>
      <w:tr w:rsidR="00CB0EAB" w:rsidRPr="00926136" w14:paraId="668B61A3" w14:textId="77777777" w:rsidTr="00CB0EAB">
        <w:tc>
          <w:tcPr>
            <w:tcW w:w="2544" w:type="dxa"/>
          </w:tcPr>
          <w:p w14:paraId="1F77F291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lastRenderedPageBreak/>
              <w:t>Ziel der Massnahme</w:t>
            </w:r>
          </w:p>
        </w:tc>
        <w:tc>
          <w:tcPr>
            <w:tcW w:w="7083" w:type="dxa"/>
            <w:gridSpan w:val="6"/>
          </w:tcPr>
          <w:p w14:paraId="57A16ACF" w14:textId="3E0BB7A1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Verbesserung des öffentlichen Verkehrsangebots, um d</w:t>
            </w:r>
            <w:r w:rsidR="00A77B6C">
              <w:rPr>
                <w:sz w:val="20"/>
                <w:szCs w:val="20"/>
              </w:rPr>
              <w:t>as</w:t>
            </w:r>
            <w:r w:rsidRPr="00926136">
              <w:rPr>
                <w:sz w:val="20"/>
                <w:szCs w:val="20"/>
              </w:rPr>
              <w:t xml:space="preserve"> Mobilitätsverhalten aktiv zu stimulieren. </w:t>
            </w:r>
          </w:p>
        </w:tc>
      </w:tr>
      <w:tr w:rsidR="00CB0EAB" w:rsidRPr="00926136" w14:paraId="4856726B" w14:textId="77777777" w:rsidTr="00CB0EAB">
        <w:tc>
          <w:tcPr>
            <w:tcW w:w="2544" w:type="dxa"/>
          </w:tcPr>
          <w:p w14:paraId="0C2D8D46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Zielgruppe</w:t>
            </w:r>
          </w:p>
        </w:tc>
        <w:tc>
          <w:tcPr>
            <w:tcW w:w="7083" w:type="dxa"/>
            <w:gridSpan w:val="6"/>
          </w:tcPr>
          <w:p w14:paraId="4A916EDA" w14:textId="0D50D82D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Alle </w:t>
            </w:r>
          </w:p>
        </w:tc>
      </w:tr>
      <w:tr w:rsidR="00857D68" w:rsidRPr="00926136" w14:paraId="7F2C50D1" w14:textId="77777777" w:rsidTr="00CB0EAB">
        <w:tc>
          <w:tcPr>
            <w:tcW w:w="2544" w:type="dxa"/>
          </w:tcPr>
          <w:p w14:paraId="377048D1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 xml:space="preserve">Wirkungsbereich der Massnahme </w:t>
            </w:r>
          </w:p>
        </w:tc>
        <w:tc>
          <w:tcPr>
            <w:tcW w:w="1829" w:type="dxa"/>
          </w:tcPr>
          <w:p w14:paraId="69A63A83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Fernverkehr</w:t>
            </w:r>
          </w:p>
          <w:sdt>
            <w:sdtPr>
              <w:rPr>
                <w:sz w:val="20"/>
                <w:szCs w:val="20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06FDEF3F" w:rsidR="00CB0EAB" w:rsidRPr="00926136" w:rsidRDefault="00CB0EAB" w:rsidP="00CB0EAB">
                <w:pPr>
                  <w:rPr>
                    <w:sz w:val="20"/>
                    <w:szCs w:val="20"/>
                  </w:rPr>
                </w:pPr>
                <w:r w:rsidRPr="0092613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766" w:type="dxa"/>
            <w:gridSpan w:val="2"/>
          </w:tcPr>
          <w:p w14:paraId="3DCEA09D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Regionalverkehr</w:t>
            </w:r>
          </w:p>
          <w:sdt>
            <w:sdtPr>
              <w:rPr>
                <w:sz w:val="20"/>
                <w:szCs w:val="20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55D7CC91" w:rsidR="00CB0EAB" w:rsidRPr="00926136" w:rsidRDefault="00CB0EAB" w:rsidP="00CB0EAB">
                <w:pPr>
                  <w:rPr>
                    <w:sz w:val="20"/>
                    <w:szCs w:val="20"/>
                  </w:rPr>
                </w:pPr>
                <w:r w:rsidRPr="0092613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799" w:type="dxa"/>
            <w:gridSpan w:val="2"/>
          </w:tcPr>
          <w:p w14:paraId="4D970A5D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Ortsverkehr</w:t>
            </w:r>
          </w:p>
          <w:sdt>
            <w:sdtPr>
              <w:rPr>
                <w:color w:val="7F7F7F" w:themeColor="text1" w:themeTint="80"/>
                <w:sz w:val="20"/>
                <w:szCs w:val="20"/>
              </w:rPr>
              <w:id w:val="913133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3B97A5D2" w:rsidR="00CB0EAB" w:rsidRPr="00926136" w:rsidRDefault="00CB0EAB" w:rsidP="00CB0EAB">
                <w:pPr>
                  <w:rPr>
                    <w:sz w:val="20"/>
                    <w:szCs w:val="20"/>
                  </w:rPr>
                </w:pPr>
                <w:r w:rsidRPr="00926136">
                  <w:rPr>
                    <w:rFonts w:ascii="MS Gothic" w:eastAsia="MS Gothic" w:hAnsi="MS Gothic"/>
                    <w:color w:val="7F7F7F" w:themeColor="text1" w:themeTint="8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689" w:type="dxa"/>
          </w:tcPr>
          <w:p w14:paraId="4ECBE566" w14:textId="5AD738DB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Touristischer Verkehr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181509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136">
                  <w:rPr>
                    <w:rFonts w:ascii="MS Gothic" w:eastAsia="MS Gothic" w:hAnsi="MS Gothic"/>
                    <w:color w:val="7F7F7F" w:themeColor="text1" w:themeTint="80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0EAB" w:rsidRPr="00926136" w14:paraId="06EDCE04" w14:textId="77777777" w:rsidTr="00CB0EAB">
        <w:trPr>
          <w:trHeight w:val="306"/>
        </w:trPr>
        <w:tc>
          <w:tcPr>
            <w:tcW w:w="2544" w:type="dxa"/>
          </w:tcPr>
          <w:p w14:paraId="7F007A41" w14:textId="0CB0D032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26136">
              <w:rPr>
                <w:b/>
                <w:bCs/>
                <w:sz w:val="20"/>
                <w:szCs w:val="20"/>
              </w:rPr>
              <w:t>Stand</w:t>
            </w:r>
            <w:proofErr w:type="gramEnd"/>
          </w:p>
        </w:tc>
        <w:tc>
          <w:tcPr>
            <w:tcW w:w="2393" w:type="dxa"/>
            <w:gridSpan w:val="2"/>
          </w:tcPr>
          <w:p w14:paraId="1EFF7AF4" w14:textId="1D6E00F2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Massnahme umgesetzt</w:t>
            </w:r>
          </w:p>
          <w:p w14:paraId="4A1CA999" w14:textId="41C70D76" w:rsidR="00CB0EAB" w:rsidRPr="00926136" w:rsidRDefault="001F51A1" w:rsidP="00CB0E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AB" w:rsidRPr="00926136">
                  <w:rPr>
                    <w:rFonts w:ascii="MS Gothic" w:eastAsia="MS Gothic" w:hAnsi="MS Gothic"/>
                    <w:sz w:val="20"/>
                    <w:szCs w:val="20"/>
                  </w:rPr>
                  <w:t>☒</w:t>
                </w:r>
              </w:sdtContent>
            </w:sdt>
          </w:p>
          <w:p w14:paraId="7482A276" w14:textId="6E756DBB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Umsetzungszeitpunkt: 2021</w:t>
            </w:r>
          </w:p>
        </w:tc>
        <w:tc>
          <w:tcPr>
            <w:tcW w:w="2326" w:type="dxa"/>
            <w:gridSpan w:val="2"/>
          </w:tcPr>
          <w:p w14:paraId="1A3F0EE8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Massnahme in </w:t>
            </w:r>
          </w:p>
          <w:p w14:paraId="2650EA74" w14:textId="05E358F8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Planung </w:t>
            </w:r>
            <w:sdt>
              <w:sdtPr>
                <w:rPr>
                  <w:sz w:val="20"/>
                  <w:szCs w:val="20"/>
                </w:rPr>
                <w:id w:val="21370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F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679BCC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Geplante Umsetzung:</w:t>
            </w:r>
          </w:p>
          <w:p w14:paraId="529F86F8" w14:textId="55655FAA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2364" w:type="dxa"/>
            <w:gridSpan w:val="2"/>
          </w:tcPr>
          <w:p w14:paraId="6A6A312F" w14:textId="77E2DDD6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 xml:space="preserve">Massnahme noch nicht in Planung </w:t>
            </w:r>
            <w:sdt>
              <w:sdtPr>
                <w:rPr>
                  <w:sz w:val="20"/>
                  <w:szCs w:val="20"/>
                </w:rPr>
                <w:id w:val="11476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13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0EAB" w:rsidRPr="00926136" w14:paraId="3C93650C" w14:textId="77777777" w:rsidTr="00CB0EAB">
        <w:trPr>
          <w:trHeight w:val="306"/>
        </w:trPr>
        <w:tc>
          <w:tcPr>
            <w:tcW w:w="2544" w:type="dxa"/>
            <w:vMerge w:val="restart"/>
          </w:tcPr>
          <w:p w14:paraId="11749BB9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Optional:</w:t>
            </w:r>
          </w:p>
          <w:p w14:paraId="62256F2A" w14:textId="4CB3313C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 xml:space="preserve">Beurteilung / </w:t>
            </w:r>
          </w:p>
          <w:p w14:paraId="5126873B" w14:textId="77777777" w:rsidR="00CB0EAB" w:rsidRPr="00926136" w:rsidRDefault="00CB0EAB" w:rsidP="00CB0EAB">
            <w:pPr>
              <w:rPr>
                <w:b/>
                <w:bCs/>
                <w:sz w:val="20"/>
                <w:szCs w:val="20"/>
              </w:rPr>
            </w:pPr>
            <w:r w:rsidRPr="00926136">
              <w:rPr>
                <w:b/>
                <w:bCs/>
                <w:sz w:val="20"/>
                <w:szCs w:val="20"/>
              </w:rPr>
              <w:t>Erfahrungsbericht</w:t>
            </w:r>
          </w:p>
        </w:tc>
        <w:tc>
          <w:tcPr>
            <w:tcW w:w="3595" w:type="dxa"/>
            <w:gridSpan w:val="3"/>
          </w:tcPr>
          <w:p w14:paraId="4E1ECEA1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Positives Feedback</w:t>
            </w:r>
          </w:p>
        </w:tc>
        <w:tc>
          <w:tcPr>
            <w:tcW w:w="3488" w:type="dxa"/>
            <w:gridSpan w:val="3"/>
          </w:tcPr>
          <w:p w14:paraId="0EE9DB6C" w14:textId="77777777" w:rsidR="00CB0EAB" w:rsidRPr="00926136" w:rsidRDefault="00CB0EAB" w:rsidP="00CB0EAB">
            <w:p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Negatives Feedback</w:t>
            </w:r>
          </w:p>
        </w:tc>
      </w:tr>
      <w:tr w:rsidR="00CB0EAB" w:rsidRPr="00926136" w14:paraId="5A6BD666" w14:textId="77777777" w:rsidTr="00CB0EAB">
        <w:trPr>
          <w:trHeight w:val="912"/>
        </w:trPr>
        <w:tc>
          <w:tcPr>
            <w:tcW w:w="2544" w:type="dxa"/>
            <w:vMerge/>
          </w:tcPr>
          <w:p w14:paraId="7D985AA4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14:paraId="4985B1E3" w14:textId="6DAE6163" w:rsidR="00CB0EAB" w:rsidRPr="00926136" w:rsidRDefault="00CB0EAB" w:rsidP="00CB0EA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…</w:t>
            </w:r>
          </w:p>
          <w:p w14:paraId="3D7828EB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45C68355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6BA9240D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52D8EE33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6736EE85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416955E8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01118D36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1963019F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064202AA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  <w:p w14:paraId="2D6CE0D4" w14:textId="77777777" w:rsidR="00CB0EAB" w:rsidRPr="00926136" w:rsidRDefault="00CB0EAB" w:rsidP="00CB0EAB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44F9F587" w14:textId="34E1E6B0" w:rsidR="00CB0EAB" w:rsidRPr="00926136" w:rsidRDefault="00CB0EAB" w:rsidP="00CB0EA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26136">
              <w:rPr>
                <w:sz w:val="20"/>
                <w:szCs w:val="20"/>
              </w:rPr>
              <w:t>…</w:t>
            </w:r>
          </w:p>
          <w:p w14:paraId="444D0955" w14:textId="5FF55F5B" w:rsidR="00CB0EAB" w:rsidRPr="00926136" w:rsidRDefault="00CB0EAB" w:rsidP="00CB0EA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732D" w14:textId="77777777" w:rsidR="00CB2651" w:rsidRDefault="00CB2651" w:rsidP="00F91D37">
      <w:r>
        <w:separator/>
      </w:r>
    </w:p>
  </w:endnote>
  <w:endnote w:type="continuationSeparator" w:id="0">
    <w:p w14:paraId="39DE4F2A" w14:textId="77777777" w:rsidR="00CB2651" w:rsidRDefault="00CB2651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69420573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D927E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9D417" w14:textId="77777777" w:rsidR="00CB2651" w:rsidRDefault="00CB2651" w:rsidP="00F91D37">
      <w:r>
        <w:separator/>
      </w:r>
    </w:p>
  </w:footnote>
  <w:footnote w:type="continuationSeparator" w:id="0">
    <w:p w14:paraId="2052CEA7" w14:textId="77777777" w:rsidR="00CB2651" w:rsidRDefault="00CB2651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4F683CB"/>
    <w:multiLevelType w:val="hybridMultilevel"/>
    <w:tmpl w:val="9F6B10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2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D85D39"/>
    <w:multiLevelType w:val="hybridMultilevel"/>
    <w:tmpl w:val="804A1B9E"/>
    <w:lvl w:ilvl="0" w:tplc="01D0F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B4327"/>
    <w:multiLevelType w:val="hybridMultilevel"/>
    <w:tmpl w:val="652E2BBE"/>
    <w:lvl w:ilvl="0" w:tplc="2D94E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17"/>
  </w:num>
  <w:num w:numId="13">
    <w:abstractNumId w:val="16"/>
  </w:num>
  <w:num w:numId="14">
    <w:abstractNumId w:val="21"/>
  </w:num>
  <w:num w:numId="15">
    <w:abstractNumId w:val="20"/>
  </w:num>
  <w:num w:numId="16">
    <w:abstractNumId w:val="13"/>
  </w:num>
  <w:num w:numId="17">
    <w:abstractNumId w:val="12"/>
  </w:num>
  <w:num w:numId="18">
    <w:abstractNumId w:val="15"/>
  </w:num>
  <w:num w:numId="19">
    <w:abstractNumId w:val="19"/>
  </w:num>
  <w:num w:numId="20">
    <w:abstractNumId w:val="14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0" w:nlCheck="1" w:checkStyle="0"/>
  <w:proofState w:spelling="clean" w:grammar="clean"/>
  <w:documentProtection w:edit="trackedChange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B5C58"/>
    <w:rsid w:val="000C135D"/>
    <w:rsid w:val="000E756F"/>
    <w:rsid w:val="00106688"/>
    <w:rsid w:val="001134C7"/>
    <w:rsid w:val="001324DD"/>
    <w:rsid w:val="001432D1"/>
    <w:rsid w:val="00144122"/>
    <w:rsid w:val="00154677"/>
    <w:rsid w:val="00165118"/>
    <w:rsid w:val="00167916"/>
    <w:rsid w:val="00172899"/>
    <w:rsid w:val="00181FBF"/>
    <w:rsid w:val="00187CF5"/>
    <w:rsid w:val="001A0FE4"/>
    <w:rsid w:val="001A15A0"/>
    <w:rsid w:val="001F4A7E"/>
    <w:rsid w:val="001F4B8C"/>
    <w:rsid w:val="001F51A1"/>
    <w:rsid w:val="00200E39"/>
    <w:rsid w:val="0023205B"/>
    <w:rsid w:val="00267F71"/>
    <w:rsid w:val="00290E37"/>
    <w:rsid w:val="002C7E79"/>
    <w:rsid w:val="002D38AE"/>
    <w:rsid w:val="002F06AA"/>
    <w:rsid w:val="0032330D"/>
    <w:rsid w:val="00325145"/>
    <w:rsid w:val="00333A1B"/>
    <w:rsid w:val="003514EE"/>
    <w:rsid w:val="00364EE3"/>
    <w:rsid w:val="003A7028"/>
    <w:rsid w:val="003C0565"/>
    <w:rsid w:val="003F1A56"/>
    <w:rsid w:val="00424553"/>
    <w:rsid w:val="00426CFA"/>
    <w:rsid w:val="00456CDF"/>
    <w:rsid w:val="0046209D"/>
    <w:rsid w:val="00490079"/>
    <w:rsid w:val="004A039B"/>
    <w:rsid w:val="004C1192"/>
    <w:rsid w:val="004C18A9"/>
    <w:rsid w:val="004D179F"/>
    <w:rsid w:val="00500294"/>
    <w:rsid w:val="00503076"/>
    <w:rsid w:val="00513A9E"/>
    <w:rsid w:val="00526C93"/>
    <w:rsid w:val="0055363C"/>
    <w:rsid w:val="00591832"/>
    <w:rsid w:val="00592841"/>
    <w:rsid w:val="006044D5"/>
    <w:rsid w:val="00622FDC"/>
    <w:rsid w:val="00642F26"/>
    <w:rsid w:val="0065274C"/>
    <w:rsid w:val="00657645"/>
    <w:rsid w:val="00671E7B"/>
    <w:rsid w:val="00674895"/>
    <w:rsid w:val="00686D14"/>
    <w:rsid w:val="00687ED7"/>
    <w:rsid w:val="0069550A"/>
    <w:rsid w:val="006B11A6"/>
    <w:rsid w:val="006D0E29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7E7370"/>
    <w:rsid w:val="00805C04"/>
    <w:rsid w:val="00832CB4"/>
    <w:rsid w:val="00841B44"/>
    <w:rsid w:val="00852001"/>
    <w:rsid w:val="00857D68"/>
    <w:rsid w:val="00883CC4"/>
    <w:rsid w:val="008A61AD"/>
    <w:rsid w:val="008C019B"/>
    <w:rsid w:val="008C4AC1"/>
    <w:rsid w:val="008F5513"/>
    <w:rsid w:val="00915EA8"/>
    <w:rsid w:val="00926136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7815"/>
    <w:rsid w:val="00A62F82"/>
    <w:rsid w:val="00A77B6C"/>
    <w:rsid w:val="00AB094C"/>
    <w:rsid w:val="00AD36B2"/>
    <w:rsid w:val="00AD6F3E"/>
    <w:rsid w:val="00AE0A01"/>
    <w:rsid w:val="00AF0649"/>
    <w:rsid w:val="00AF47AE"/>
    <w:rsid w:val="00B32ABB"/>
    <w:rsid w:val="00B36FDC"/>
    <w:rsid w:val="00B41FD3"/>
    <w:rsid w:val="00B73D92"/>
    <w:rsid w:val="00B803E7"/>
    <w:rsid w:val="00BA2594"/>
    <w:rsid w:val="00BA4DDE"/>
    <w:rsid w:val="00BC655F"/>
    <w:rsid w:val="00C04075"/>
    <w:rsid w:val="00C16FD5"/>
    <w:rsid w:val="00C51D2F"/>
    <w:rsid w:val="00C52869"/>
    <w:rsid w:val="00C648EC"/>
    <w:rsid w:val="00CA348A"/>
    <w:rsid w:val="00CA7C42"/>
    <w:rsid w:val="00CB0EAB"/>
    <w:rsid w:val="00CB2651"/>
    <w:rsid w:val="00CB2CE6"/>
    <w:rsid w:val="00CC0F77"/>
    <w:rsid w:val="00CF48AE"/>
    <w:rsid w:val="00CF4ECE"/>
    <w:rsid w:val="00CF6ECE"/>
    <w:rsid w:val="00D024E9"/>
    <w:rsid w:val="00D06A4E"/>
    <w:rsid w:val="00D176AC"/>
    <w:rsid w:val="00D41E1C"/>
    <w:rsid w:val="00D9415C"/>
    <w:rsid w:val="00DD7F4E"/>
    <w:rsid w:val="00E00E30"/>
    <w:rsid w:val="00E00E6D"/>
    <w:rsid w:val="00E070A2"/>
    <w:rsid w:val="00E1470E"/>
    <w:rsid w:val="00E25DCD"/>
    <w:rsid w:val="00E269E1"/>
    <w:rsid w:val="00E31677"/>
    <w:rsid w:val="00E45F13"/>
    <w:rsid w:val="00E510BC"/>
    <w:rsid w:val="00E73CB2"/>
    <w:rsid w:val="00EA59B8"/>
    <w:rsid w:val="00EC2DF9"/>
    <w:rsid w:val="00ED41EC"/>
    <w:rsid w:val="00ED47C8"/>
    <w:rsid w:val="00EF4EC9"/>
    <w:rsid w:val="00F016BC"/>
    <w:rsid w:val="00F041B4"/>
    <w:rsid w:val="00F0660B"/>
    <w:rsid w:val="00F10BA7"/>
    <w:rsid w:val="00F123AE"/>
    <w:rsid w:val="00F31C6D"/>
    <w:rsid w:val="00F34687"/>
    <w:rsid w:val="00F73331"/>
    <w:rsid w:val="00F900A8"/>
    <w:rsid w:val="00F91D37"/>
    <w:rsid w:val="00FB6EF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;"/>
  <w14:docId w14:val="5C7B0BCE"/>
  <w15:docId w15:val="{24EC5C33-82B2-406A-B0A6-88D1924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6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6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1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648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A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A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A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A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A9E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852001"/>
  </w:style>
  <w:style w:type="character" w:customStyle="1" w:styleId="eop">
    <w:name w:val="eop"/>
    <w:basedOn w:val="Absatz-Standardschriftart"/>
    <w:rsid w:val="00BA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VXEHHNPPKHJR-1000582777-561342</_dlc_DocId>
    <_dlc_DocIdUrl xmlns="fc48761f-100f-4b21-bfba-e6963edc687a">
      <Url>https://voev.sharepoint.com/sites/AbtoeffentlicherVerkehrVoeV/_layouts/15/DocIdRedir.aspx?ID=VXEHHNPPKHJR-1000582777-561342</Url>
      <Description>VXEHHNPPKHJR-1000582777-561342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663C6CEEE474AB7A75D47C7492EF0" ma:contentTypeVersion="13" ma:contentTypeDescription="Ein neues Dokument erstellen." ma:contentTypeScope="" ma:versionID="33c29b1993b81b816cc3a986df09348f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74a103cd23292eb8a9d9e336b98fce16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6A14A-00FC-40FD-BAB9-F573001CAE92}">
  <ds:schemaRefs>
    <ds:schemaRef ds:uri="http://purl.org/dc/dcmitype/"/>
    <ds:schemaRef ds:uri="http://purl.org/dc/terms/"/>
    <ds:schemaRef ds:uri="c8a178ee-70d5-4b01-9578-a89b91bc364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2c01036-744f-40f6-8591-8472798617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ACC472-BCA8-40F8-80E3-7D54045C96EF}"/>
</file>

<file path=customXml/itemProps5.xml><?xml version="1.0" encoding="utf-8"?>
<ds:datastoreItem xmlns:ds="http://schemas.openxmlformats.org/officeDocument/2006/customXml" ds:itemID="{679FDB7F-CE54-4126-8FFA-48E16B6FB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Wüthrich</dc:creator>
  <cp:keywords/>
  <dc:description/>
  <cp:lastModifiedBy>Stefan Weigel (PAR-ES)</cp:lastModifiedBy>
  <cp:revision>4</cp:revision>
  <cp:lastPrinted>2021-06-09T13:44:00Z</cp:lastPrinted>
  <dcterms:created xsi:type="dcterms:W3CDTF">2021-06-09T13:44:00Z</dcterms:created>
  <dcterms:modified xsi:type="dcterms:W3CDTF">2021-06-10T18:05:00Z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2af42412-2f27-4886-ad7e-ee85a51d55f6</vt:lpwstr>
  </property>
</Properties>
</file>